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 w:cs="Times New Roman"/>
          <w:b/>
          <w:kern w:val="0"/>
          <w:szCs w:val="21"/>
        </w:rPr>
      </w:pP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Table 1 </w:t>
      </w:r>
      <w:proofErr w:type="gramStart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>The</w:t>
      </w:r>
      <w:proofErr w:type="gramEnd"/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 detection result for</w:t>
      </w:r>
      <w:r w:rsidRPr="00946879">
        <w:rPr>
          <w:rFonts w:ascii="Times New Roman" w:eastAsia="微软雅黑" w:hAnsi="Times New Roman" w:cs="Times New Roman"/>
          <w:b/>
          <w:kern w:val="0"/>
          <w:szCs w:val="21"/>
        </w:rPr>
        <w:t xml:space="preserve"> miR-101-3p, PGI, PGI/II and CEA in patients with atrophic gastritis and gastric cancer</w:t>
      </w:r>
    </w:p>
    <w:tbl>
      <w:tblPr>
        <w:tblStyle w:val="a5"/>
        <w:tblW w:w="836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6"/>
        <w:gridCol w:w="2447"/>
        <w:gridCol w:w="1743"/>
        <w:gridCol w:w="2085"/>
      </w:tblGrid>
      <w:tr w:rsidR="00946879" w:rsidRPr="00946879" w:rsidTr="00B77953"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Index</w:t>
            </w:r>
          </w:p>
        </w:tc>
        <w:tc>
          <w:tcPr>
            <w:tcW w:w="2447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Normal control (n</w:t>
            </w:r>
            <w:r w:rsidRPr="00946879">
              <w:rPr>
                <w:rFonts w:hint="eastAsia"/>
                <w:b/>
                <w:szCs w:val="21"/>
              </w:rPr>
              <w:t xml:space="preserve"> </w:t>
            </w:r>
            <w:r w:rsidRPr="00946879">
              <w:rPr>
                <w:b/>
                <w:szCs w:val="21"/>
              </w:rPr>
              <w:t>=</w:t>
            </w:r>
            <w:r w:rsidRPr="00946879">
              <w:rPr>
                <w:rFonts w:hint="eastAsia"/>
                <w:b/>
                <w:szCs w:val="21"/>
              </w:rPr>
              <w:t xml:space="preserve"> </w:t>
            </w:r>
            <w:r w:rsidRPr="00946879">
              <w:rPr>
                <w:b/>
                <w:szCs w:val="21"/>
              </w:rPr>
              <w:t>50)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AG (n</w:t>
            </w:r>
            <w:r w:rsidRPr="00946879">
              <w:rPr>
                <w:rFonts w:hint="eastAsia"/>
                <w:b/>
                <w:szCs w:val="21"/>
              </w:rPr>
              <w:t xml:space="preserve"> </w:t>
            </w:r>
            <w:r w:rsidRPr="00946879">
              <w:rPr>
                <w:b/>
                <w:szCs w:val="21"/>
              </w:rPr>
              <w:t>=</w:t>
            </w:r>
            <w:r w:rsidRPr="00946879">
              <w:rPr>
                <w:rFonts w:hint="eastAsia"/>
                <w:b/>
                <w:szCs w:val="21"/>
              </w:rPr>
              <w:t xml:space="preserve"> </w:t>
            </w:r>
            <w:r w:rsidRPr="00946879">
              <w:rPr>
                <w:b/>
                <w:szCs w:val="21"/>
              </w:rPr>
              <w:t>61)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b/>
                <w:szCs w:val="21"/>
              </w:rPr>
            </w:pPr>
            <w:r w:rsidRPr="00946879">
              <w:rPr>
                <w:b/>
                <w:szCs w:val="21"/>
              </w:rPr>
              <w:t>GC (n</w:t>
            </w:r>
            <w:r w:rsidRPr="00946879">
              <w:rPr>
                <w:rFonts w:hint="eastAsia"/>
                <w:b/>
                <w:szCs w:val="21"/>
              </w:rPr>
              <w:t xml:space="preserve"> </w:t>
            </w:r>
            <w:r w:rsidRPr="00946879">
              <w:rPr>
                <w:b/>
                <w:szCs w:val="21"/>
              </w:rPr>
              <w:t>=</w:t>
            </w:r>
            <w:r w:rsidRPr="00946879">
              <w:rPr>
                <w:rFonts w:hint="eastAsia"/>
                <w:b/>
                <w:szCs w:val="21"/>
              </w:rPr>
              <w:t xml:space="preserve"> </w:t>
            </w:r>
            <w:r w:rsidRPr="00946879">
              <w:rPr>
                <w:b/>
                <w:szCs w:val="21"/>
              </w:rPr>
              <w:t>86)</w:t>
            </w:r>
          </w:p>
        </w:tc>
      </w:tr>
      <w:tr w:rsidR="00946879" w:rsidRPr="00946879" w:rsidTr="00B77953">
        <w:tc>
          <w:tcPr>
            <w:tcW w:w="2086" w:type="dxa"/>
            <w:tcBorders>
              <w:top w:val="single" w:sz="4" w:space="0" w:color="auto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Gender</w:t>
            </w:r>
          </w:p>
        </w:tc>
        <w:tc>
          <w:tcPr>
            <w:tcW w:w="2447" w:type="dxa"/>
            <w:tcBorders>
              <w:top w:val="single" w:sz="4" w:space="0" w:color="auto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sz="4" w:space="0" w:color="auto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</w:p>
        </w:tc>
      </w:tr>
      <w:tr w:rsidR="00946879" w:rsidRPr="00946879" w:rsidTr="00B77953">
        <w:tc>
          <w:tcPr>
            <w:tcW w:w="208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Male, N (%)</w:t>
            </w:r>
          </w:p>
        </w:tc>
        <w:tc>
          <w:tcPr>
            <w:tcW w:w="244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26 (52)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33 (54.1)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36 (41.9)</w:t>
            </w:r>
          </w:p>
        </w:tc>
      </w:tr>
      <w:tr w:rsidR="00946879" w:rsidRPr="00946879" w:rsidTr="00B77953">
        <w:tc>
          <w:tcPr>
            <w:tcW w:w="208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Female, N (%)</w:t>
            </w:r>
          </w:p>
        </w:tc>
        <w:tc>
          <w:tcPr>
            <w:tcW w:w="244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24 (48)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28 (45.9)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50 (58.1)</w:t>
            </w:r>
          </w:p>
        </w:tc>
      </w:tr>
      <w:tr w:rsidR="00946879" w:rsidRPr="00946879" w:rsidTr="00B77953">
        <w:tc>
          <w:tcPr>
            <w:tcW w:w="208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Age (years)</w:t>
            </w:r>
          </w:p>
        </w:tc>
        <w:tc>
          <w:tcPr>
            <w:tcW w:w="244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45.15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1.4</w:t>
            </w:r>
            <w:r w:rsidRPr="00946879">
              <w:rPr>
                <w:rFonts w:hint="eastAsia"/>
                <w:szCs w:val="21"/>
              </w:rPr>
              <w:t>00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46.22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1.6</w:t>
            </w:r>
            <w:r w:rsidRPr="00946879">
              <w:rPr>
                <w:rFonts w:hint="eastAsia"/>
                <w:szCs w:val="21"/>
              </w:rPr>
              <w:t>00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60.11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2.1</w:t>
            </w:r>
            <w:r w:rsidRPr="00946879">
              <w:rPr>
                <w:rFonts w:hint="eastAsia"/>
                <w:szCs w:val="21"/>
              </w:rPr>
              <w:t>00</w:t>
            </w:r>
          </w:p>
        </w:tc>
      </w:tr>
      <w:tr w:rsidR="00946879" w:rsidRPr="00946879" w:rsidTr="00B77953">
        <w:tc>
          <w:tcPr>
            <w:tcW w:w="208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miR-101-3p</w:t>
            </w:r>
          </w:p>
        </w:tc>
        <w:tc>
          <w:tcPr>
            <w:tcW w:w="244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1.00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0.145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0.816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0.068*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0.730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0.064*#</w:t>
            </w:r>
          </w:p>
        </w:tc>
      </w:tr>
      <w:tr w:rsidR="00946879" w:rsidRPr="00946879" w:rsidTr="00B77953">
        <w:tc>
          <w:tcPr>
            <w:tcW w:w="2086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proofErr w:type="spellStart"/>
            <w:r w:rsidRPr="00946879">
              <w:rPr>
                <w:szCs w:val="21"/>
              </w:rPr>
              <w:t>PG</w:t>
            </w:r>
            <w:r w:rsidRPr="00946879">
              <w:rPr>
                <w:rFonts w:ascii="MS Mincho" w:eastAsia="MS Mincho" w:hAnsi="MS Mincho" w:cs="MS Mincho"/>
                <w:szCs w:val="21"/>
              </w:rPr>
              <w:t>Ⅰ</w:t>
            </w:r>
            <w:proofErr w:type="spellEnd"/>
            <w:r w:rsidRPr="00946879">
              <w:rPr>
                <w:szCs w:val="21"/>
              </w:rPr>
              <w:t xml:space="preserve"> (</w:t>
            </w:r>
            <w:proofErr w:type="spellStart"/>
            <w:r w:rsidRPr="00946879">
              <w:rPr>
                <w:szCs w:val="21"/>
              </w:rPr>
              <w:t>μg</w:t>
            </w:r>
            <w:proofErr w:type="spellEnd"/>
            <w:r w:rsidRPr="00946879">
              <w:rPr>
                <w:szCs w:val="21"/>
              </w:rPr>
              <w:t>/l)</w:t>
            </w:r>
          </w:p>
        </w:tc>
        <w:tc>
          <w:tcPr>
            <w:tcW w:w="2447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75.46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12.48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1743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66.77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9.24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58.49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11.95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*#</w:t>
            </w:r>
          </w:p>
        </w:tc>
      </w:tr>
      <w:tr w:rsidR="00946879" w:rsidRPr="00946879" w:rsidTr="00B77953">
        <w:tc>
          <w:tcPr>
            <w:tcW w:w="2086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proofErr w:type="spellStart"/>
            <w:r w:rsidRPr="00946879">
              <w:rPr>
                <w:szCs w:val="21"/>
              </w:rPr>
              <w:t>PG</w:t>
            </w:r>
            <w:r w:rsidRPr="00946879">
              <w:rPr>
                <w:rFonts w:ascii="MS Mincho" w:eastAsia="MS Mincho" w:hAnsi="MS Mincho" w:cs="MS Mincho"/>
                <w:szCs w:val="21"/>
              </w:rPr>
              <w:t>Ⅱ</w:t>
            </w:r>
            <w:proofErr w:type="spellEnd"/>
            <w:r w:rsidRPr="00946879">
              <w:rPr>
                <w:szCs w:val="21"/>
              </w:rPr>
              <w:t xml:space="preserve"> (</w:t>
            </w:r>
            <w:proofErr w:type="spellStart"/>
            <w:r w:rsidRPr="00946879">
              <w:rPr>
                <w:szCs w:val="21"/>
              </w:rPr>
              <w:t>μg</w:t>
            </w:r>
            <w:proofErr w:type="spellEnd"/>
            <w:r w:rsidRPr="00946879">
              <w:rPr>
                <w:szCs w:val="21"/>
              </w:rPr>
              <w:t>/l)</w:t>
            </w:r>
          </w:p>
        </w:tc>
        <w:tc>
          <w:tcPr>
            <w:tcW w:w="2447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11.00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3.38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1743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14.87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9.09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</w:t>
            </w:r>
          </w:p>
        </w:tc>
        <w:tc>
          <w:tcPr>
            <w:tcW w:w="2085" w:type="dxa"/>
            <w:tcBorders>
              <w:top w:val="nil"/>
            </w:tcBorders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17.79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16.01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*#</w:t>
            </w:r>
          </w:p>
        </w:tc>
      </w:tr>
      <w:tr w:rsidR="00946879" w:rsidRPr="00946879" w:rsidTr="00B77953">
        <w:tc>
          <w:tcPr>
            <w:tcW w:w="208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proofErr w:type="spellStart"/>
            <w:r w:rsidRPr="00946879">
              <w:rPr>
                <w:szCs w:val="21"/>
              </w:rPr>
              <w:t>PG</w:t>
            </w:r>
            <w:r w:rsidRPr="00946879">
              <w:rPr>
                <w:rFonts w:ascii="MS Mincho" w:eastAsia="MS Mincho" w:hAnsi="MS Mincho" w:cs="MS Mincho"/>
                <w:szCs w:val="21"/>
              </w:rPr>
              <w:t>Ⅰ</w:t>
            </w:r>
            <w:proofErr w:type="spellEnd"/>
            <w:r w:rsidRPr="00946879">
              <w:rPr>
                <w:szCs w:val="21"/>
              </w:rPr>
              <w:t>/</w:t>
            </w:r>
            <w:r w:rsidRPr="00946879">
              <w:rPr>
                <w:rFonts w:ascii="MS Mincho" w:eastAsia="MS Mincho" w:hAnsi="MS Mincho" w:cs="MS Mincho"/>
                <w:szCs w:val="21"/>
              </w:rPr>
              <w:t>Ⅱ</w:t>
            </w:r>
            <w:r w:rsidRPr="00946879">
              <w:rPr>
                <w:szCs w:val="21"/>
              </w:rPr>
              <w:t xml:space="preserve"> ratio</w:t>
            </w:r>
          </w:p>
        </w:tc>
        <w:tc>
          <w:tcPr>
            <w:tcW w:w="244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7.35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1.97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1743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5.44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2.04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</w:t>
            </w:r>
          </w:p>
        </w:tc>
        <w:tc>
          <w:tcPr>
            <w:tcW w:w="208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4.22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1.71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*#</w:t>
            </w:r>
          </w:p>
        </w:tc>
      </w:tr>
      <w:tr w:rsidR="00946879" w:rsidRPr="00946879" w:rsidTr="00B77953">
        <w:tc>
          <w:tcPr>
            <w:tcW w:w="2086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CEA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(ng/ml)</w:t>
            </w:r>
          </w:p>
        </w:tc>
        <w:tc>
          <w:tcPr>
            <w:tcW w:w="2447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1.85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0.73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1743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2.31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1.08</w:t>
            </w:r>
            <w:r w:rsidRPr="00946879">
              <w:rPr>
                <w:rFonts w:hint="eastAsia"/>
                <w:szCs w:val="21"/>
              </w:rPr>
              <w:t>0</w:t>
            </w:r>
          </w:p>
        </w:tc>
        <w:tc>
          <w:tcPr>
            <w:tcW w:w="2085" w:type="dxa"/>
          </w:tcPr>
          <w:p w:rsidR="00946879" w:rsidRPr="00946879" w:rsidRDefault="00946879" w:rsidP="00946879">
            <w:pPr>
              <w:widowControl/>
              <w:adjustRightInd w:val="0"/>
              <w:snapToGrid w:val="0"/>
              <w:spacing w:after="200" w:line="480" w:lineRule="auto"/>
              <w:jc w:val="left"/>
              <w:rPr>
                <w:szCs w:val="21"/>
              </w:rPr>
            </w:pPr>
            <w:r w:rsidRPr="00946879">
              <w:rPr>
                <w:szCs w:val="21"/>
              </w:rPr>
              <w:t>3.66</w:t>
            </w:r>
            <w:r w:rsidRPr="00946879">
              <w:rPr>
                <w:rFonts w:hint="eastAsia"/>
                <w:szCs w:val="21"/>
              </w:rPr>
              <w:t xml:space="preserve">0 </w:t>
            </w:r>
            <w:r w:rsidRPr="00946879">
              <w:rPr>
                <w:szCs w:val="21"/>
              </w:rPr>
              <w:t>±</w:t>
            </w:r>
            <w:r w:rsidRPr="00946879">
              <w:rPr>
                <w:rFonts w:hint="eastAsia"/>
                <w:szCs w:val="21"/>
              </w:rPr>
              <w:t xml:space="preserve"> </w:t>
            </w:r>
            <w:r w:rsidRPr="00946879">
              <w:rPr>
                <w:szCs w:val="21"/>
              </w:rPr>
              <w:t>1.38</w:t>
            </w:r>
            <w:r w:rsidRPr="00946879">
              <w:rPr>
                <w:rFonts w:hint="eastAsia"/>
                <w:szCs w:val="21"/>
              </w:rPr>
              <w:t>0</w:t>
            </w:r>
            <w:r w:rsidRPr="00946879">
              <w:rPr>
                <w:szCs w:val="21"/>
              </w:rPr>
              <w:t>*#</w:t>
            </w:r>
          </w:p>
        </w:tc>
      </w:tr>
    </w:tbl>
    <w:p w:rsidR="00946879" w:rsidRPr="00946879" w:rsidRDefault="00946879" w:rsidP="00946879">
      <w:pPr>
        <w:widowControl/>
        <w:adjustRightInd w:val="0"/>
        <w:snapToGrid w:val="0"/>
        <w:spacing w:after="200"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946879">
        <w:rPr>
          <w:rFonts w:ascii="Times New Roman" w:eastAsia="微软雅黑" w:hAnsi="Times New Roman" w:cs="Times New Roman" w:hint="eastAsia"/>
          <w:b/>
          <w:kern w:val="0"/>
          <w:szCs w:val="21"/>
        </w:rPr>
        <w:t xml:space="preserve">Notes: </w:t>
      </w:r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 xml:space="preserve">PGI, </w:t>
      </w:r>
      <w:r w:rsidRPr="00946879">
        <w:rPr>
          <w:rFonts w:ascii="Times New Roman" w:eastAsia="微软雅黑" w:hAnsi="Times New Roman" w:cs="Times New Roman"/>
          <w:kern w:val="0"/>
          <w:szCs w:val="21"/>
        </w:rPr>
        <w:t>Pepsinogen</w:t>
      </w:r>
      <w:r w:rsidRPr="00946879">
        <w:rPr>
          <w:rFonts w:ascii="Times New Roman" w:eastAsia="微软雅黑" w:hAnsi="Times New Roman" w:cs="Times New Roman" w:hint="eastAsia"/>
          <w:kern w:val="0"/>
          <w:szCs w:val="21"/>
        </w:rPr>
        <w:t>;</w:t>
      </w:r>
      <w:r w:rsidRPr="00946879">
        <w:rPr>
          <w:rFonts w:ascii="Times New Roman" w:eastAsia="宋体" w:hAnsi="Times New Roman" w:cs="Times New Roman"/>
          <w:kern w:val="0"/>
          <w:szCs w:val="21"/>
        </w:rPr>
        <w:t xml:space="preserve"> AG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Pr="00946879">
        <w:rPr>
          <w:rFonts w:ascii="Times New Roman" w:eastAsia="宋体" w:hAnsi="Times New Roman" w:cs="Times New Roman"/>
          <w:kern w:val="0"/>
          <w:szCs w:val="21"/>
        </w:rPr>
        <w:t>Atrophic gastritis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 xml:space="preserve">; GC, </w:t>
      </w:r>
      <w:r w:rsidRPr="00946879">
        <w:rPr>
          <w:rFonts w:ascii="Times New Roman" w:eastAsia="宋体" w:hAnsi="Times New Roman" w:cs="Times New Roman"/>
          <w:kern w:val="0"/>
          <w:szCs w:val="21"/>
        </w:rPr>
        <w:t>Gastric cancer</w:t>
      </w:r>
      <w:r w:rsidRPr="00946879">
        <w:rPr>
          <w:rFonts w:ascii="Times New Roman" w:eastAsia="宋体" w:hAnsi="Times New Roman" w:cs="Times New Roman" w:hint="eastAsia"/>
          <w:kern w:val="0"/>
          <w:szCs w:val="21"/>
        </w:rPr>
        <w:t>; CEA, t</w:t>
      </w:r>
      <w:r w:rsidRPr="00946879">
        <w:rPr>
          <w:rFonts w:ascii="Times New Roman" w:eastAsia="宋体" w:hAnsi="Times New Roman" w:cs="Times New Roman"/>
          <w:kern w:val="0"/>
          <w:szCs w:val="21"/>
        </w:rPr>
        <w:t>he carcinoembryonic antigen;</w:t>
      </w:r>
      <w:r w:rsidRPr="00946879">
        <w:rPr>
          <w:rFonts w:ascii="Times New Roman" w:eastAsia="等线" w:hAnsi="Times New Roman" w:cs="Times New Roman"/>
          <w:szCs w:val="21"/>
        </w:rPr>
        <w:t xml:space="preserve"> One-Way ANOVA was used for current study. Tukey’s multiple comparison </w:t>
      </w:r>
      <w:proofErr w:type="gramStart"/>
      <w:r w:rsidRPr="00946879">
        <w:rPr>
          <w:rFonts w:ascii="Times New Roman" w:eastAsia="等线" w:hAnsi="Times New Roman" w:cs="Times New Roman"/>
          <w:szCs w:val="21"/>
        </w:rPr>
        <w:t>test</w:t>
      </w:r>
      <w:proofErr w:type="gramEnd"/>
      <w:r w:rsidRPr="00946879">
        <w:rPr>
          <w:rFonts w:ascii="Times New Roman" w:eastAsia="等线" w:hAnsi="Times New Roman" w:cs="Times New Roman"/>
          <w:szCs w:val="21"/>
        </w:rPr>
        <w:t xml:space="preserve"> was used for the pairwise comparison after ANOVA. </w:t>
      </w:r>
      <w:proofErr w:type="gramStart"/>
      <w:r w:rsidRPr="00946879">
        <w:rPr>
          <w:rFonts w:ascii="Times New Roman" w:eastAsia="等线" w:hAnsi="Times New Roman" w:cs="Times New Roman"/>
          <w:szCs w:val="21"/>
        </w:rPr>
        <w:t>*, P &lt; 0.05</w:t>
      </w:r>
      <w:r w:rsidRPr="00946879">
        <w:rPr>
          <w:rFonts w:ascii="Times New Roman" w:eastAsia="等线" w:hAnsi="Times New Roman" w:cs="Times New Roman" w:hint="eastAsia"/>
          <w:szCs w:val="21"/>
        </w:rPr>
        <w:t xml:space="preserve"> when compared with normal control group</w:t>
      </w:r>
      <w:r w:rsidRPr="00946879">
        <w:rPr>
          <w:rFonts w:ascii="Times New Roman" w:eastAsia="等线" w:hAnsi="Times New Roman" w:cs="Times New Roman"/>
          <w:szCs w:val="21"/>
        </w:rPr>
        <w:t xml:space="preserve">; #, P &lt; 0.05 when compared </w:t>
      </w:r>
      <w:r w:rsidRPr="00946879">
        <w:rPr>
          <w:rFonts w:ascii="Times New Roman" w:eastAsia="等线" w:hAnsi="Times New Roman" w:cs="Times New Roman" w:hint="eastAsia"/>
          <w:szCs w:val="21"/>
        </w:rPr>
        <w:t>with AG group.</w:t>
      </w:r>
      <w:bookmarkStart w:id="0" w:name="_GoBack"/>
      <w:bookmarkEnd w:id="0"/>
      <w:proofErr w:type="gramEnd"/>
    </w:p>
    <w:sectPr w:rsidR="00946879" w:rsidRPr="00946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3FB" w:rsidRDefault="003933FB" w:rsidP="00946879">
      <w:r>
        <w:separator/>
      </w:r>
    </w:p>
  </w:endnote>
  <w:endnote w:type="continuationSeparator" w:id="0">
    <w:p w:rsidR="003933FB" w:rsidRDefault="003933FB" w:rsidP="00946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3FB" w:rsidRDefault="003933FB" w:rsidP="00946879">
      <w:r>
        <w:separator/>
      </w:r>
    </w:p>
  </w:footnote>
  <w:footnote w:type="continuationSeparator" w:id="0">
    <w:p w:rsidR="003933FB" w:rsidRDefault="003933FB" w:rsidP="00946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EF1"/>
    <w:rsid w:val="003933FB"/>
    <w:rsid w:val="00520EF1"/>
    <w:rsid w:val="007947AD"/>
    <w:rsid w:val="00946879"/>
    <w:rsid w:val="009B759E"/>
    <w:rsid w:val="00BB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8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879"/>
    <w:rPr>
      <w:sz w:val="18"/>
      <w:szCs w:val="18"/>
    </w:rPr>
  </w:style>
  <w:style w:type="table" w:styleId="a5">
    <w:name w:val="Table Grid"/>
    <w:basedOn w:val="a1"/>
    <w:uiPriority w:val="59"/>
    <w:rsid w:val="009468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2019-09-03T02:53:00Z</dcterms:created>
  <dcterms:modified xsi:type="dcterms:W3CDTF">2019-09-03T02:53:00Z</dcterms:modified>
</cp:coreProperties>
</file>